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hd w:fill="auto" w:val="clear"/>
        </w:rPr>
      </w:pPr>
      <w:r w:rsidDel="00000000" w:rsidR="00000000" w:rsidRPr="00000000">
        <w:rPr>
          <w:b w:val="1"/>
          <w:rtl w:val="0"/>
        </w:rPr>
        <w:t xml:space="preserve">Date limite pour la soumission des candidatures :</w:t>
      </w:r>
      <w:r w:rsidDel="00000000" w:rsidR="00000000" w:rsidRPr="00000000">
        <w:rPr>
          <w:shd w:fill="auto" w:val="clear"/>
          <w:rtl w:val="0"/>
        </w:rPr>
        <w:t xml:space="preserve"> 1er juin 2023</w:t>
      </w:r>
    </w:p>
    <w:p w:rsidR="00000000" w:rsidDel="00000000" w:rsidP="00000000" w:rsidRDefault="00000000" w:rsidRPr="00000000" w14:paraId="00000002">
      <w:pPr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 Partenariat </w:t>
      </w:r>
      <w:r w:rsidDel="00000000" w:rsidR="00000000" w:rsidRPr="00000000">
        <w:rPr>
          <w:i w:val="1"/>
          <w:rtl w:val="0"/>
        </w:rPr>
        <w:t xml:space="preserve">Des nouveaux usages des collections dans les musées d’art </w:t>
      </w:r>
      <w:r w:rsidDel="00000000" w:rsidR="00000000" w:rsidRPr="00000000">
        <w:rPr>
          <w:rtl w:val="0"/>
        </w:rPr>
        <w:t xml:space="preserve">offre une bourse pour un stage postdoctoral d’un montant de 20 000$ pour l’année 2023-2024. </w:t>
      </w:r>
    </w:p>
    <w:p w:rsidR="00000000" w:rsidDel="00000000" w:rsidP="00000000" w:rsidRDefault="00000000" w:rsidRPr="00000000" w14:paraId="00000004">
      <w:pPr>
        <w:pStyle w:val="Heading1"/>
        <w:spacing w:after="0" w:lineRule="auto"/>
        <w:rPr/>
      </w:pPr>
      <w:bookmarkStart w:colFirst="0" w:colLast="0" w:name="_kp2y4lvue5w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lineRule="auto"/>
        <w:rPr/>
      </w:pPr>
      <w:bookmarkStart w:colFirst="0" w:colLast="0" w:name="_feoogdfk1n1y" w:id="1"/>
      <w:bookmarkEnd w:id="1"/>
      <w:r w:rsidDel="00000000" w:rsidR="00000000" w:rsidRPr="00000000">
        <w:rPr>
          <w:rtl w:val="0"/>
        </w:rPr>
        <w:t xml:space="preserve">Critères d’admissibilité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Être titulaire d’un diplôme de 3</w:t>
      </w:r>
      <w:r w:rsidDel="00000000" w:rsidR="00000000" w:rsidRPr="00000000">
        <w:rPr>
          <w:vertAlign w:val="superscript"/>
          <w:rtl w:val="0"/>
        </w:rPr>
        <w:t xml:space="preserve">e</w:t>
      </w:r>
      <w:r w:rsidDel="00000000" w:rsidR="00000000" w:rsidRPr="00000000">
        <w:rPr>
          <w:rtl w:val="0"/>
        </w:rPr>
        <w:t xml:space="preserve"> cycle universitaire (doctorat ou équivalent reconnu par une université québécoise) depuis moins de cinq ans avant le début du stage postdoctoral.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voir pris des arrangements pour être affilié·e·s à une université ou à un établissement de recherche reconnus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Être supervisé·e ou prévoir l’être par l’un·e des chercheur·euse·s du Partenariat mentionné·e·s ci-après :</w:t>
      </w:r>
    </w:p>
    <w:p w:rsidR="00000000" w:rsidDel="00000000" w:rsidP="00000000" w:rsidRDefault="00000000" w:rsidRPr="00000000" w14:paraId="00000009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Sophie Bélair Clément (UQO)</w:t>
      </w:r>
    </w:p>
    <w:p w:rsidR="00000000" w:rsidDel="00000000" w:rsidP="00000000" w:rsidRDefault="00000000" w:rsidRPr="00000000" w14:paraId="0000000A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Anne Bénichou (UQAM)</w:t>
      </w:r>
    </w:p>
    <w:p w:rsidR="00000000" w:rsidDel="00000000" w:rsidP="00000000" w:rsidRDefault="00000000" w:rsidRPr="00000000" w14:paraId="0000000B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Mélanie Boucher (UQO)</w:t>
      </w:r>
    </w:p>
    <w:p w:rsidR="00000000" w:rsidDel="00000000" w:rsidP="00000000" w:rsidRDefault="00000000" w:rsidRPr="00000000" w14:paraId="0000000C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Emmanuel Château-Dutier (UdeM)</w:t>
      </w:r>
    </w:p>
    <w:p w:rsidR="00000000" w:rsidDel="00000000" w:rsidP="00000000" w:rsidRDefault="00000000" w:rsidRPr="00000000" w14:paraId="0000000D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Michael Eberle-Sinatra (UdeM)</w:t>
      </w:r>
    </w:p>
    <w:p w:rsidR="00000000" w:rsidDel="00000000" w:rsidP="00000000" w:rsidRDefault="00000000" w:rsidRPr="00000000" w14:paraId="0000000E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Marie Fraser (UQAM)</w:t>
      </w:r>
    </w:p>
    <w:p w:rsidR="00000000" w:rsidDel="00000000" w:rsidP="00000000" w:rsidRDefault="00000000" w:rsidRPr="00000000" w14:paraId="0000000F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Nada Guzin Lukic (UQO)</w:t>
      </w:r>
    </w:p>
    <w:p w:rsidR="00000000" w:rsidDel="00000000" w:rsidP="00000000" w:rsidRDefault="00000000" w:rsidRPr="00000000" w14:paraId="00000010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Johanne Lamoureux (UdeM)</w:t>
      </w:r>
    </w:p>
    <w:p w:rsidR="00000000" w:rsidDel="00000000" w:rsidP="00000000" w:rsidRDefault="00000000" w:rsidRPr="00000000" w14:paraId="00000011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Kristine Tanton (UdeM)</w:t>
      </w:r>
    </w:p>
    <w:p w:rsidR="00000000" w:rsidDel="00000000" w:rsidP="00000000" w:rsidRDefault="00000000" w:rsidRPr="00000000" w14:paraId="00000012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Jean-Philippe Uzel (UQAM)</w:t>
      </w:r>
    </w:p>
    <w:p w:rsidR="00000000" w:rsidDel="00000000" w:rsidP="00000000" w:rsidRDefault="00000000" w:rsidRPr="00000000" w14:paraId="00000013">
      <w:pPr>
        <w:spacing w:after="0" w:lineRule="auto"/>
        <w:ind w:left="708.6614173228347" w:firstLine="0"/>
        <w:rPr/>
      </w:pPr>
      <w:r w:rsidDel="00000000" w:rsidR="00000000" w:rsidRPr="00000000">
        <w:rPr>
          <w:rtl w:val="0"/>
        </w:rPr>
        <w:t xml:space="preserve">Jérôme Vogel (UQO)</w:t>
      </w:r>
    </w:p>
    <w:p w:rsidR="00000000" w:rsidDel="00000000" w:rsidP="00000000" w:rsidRDefault="00000000" w:rsidRPr="00000000" w14:paraId="00000014">
      <w:pPr>
        <w:ind w:left="708.661417322834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after="0" w:lineRule="auto"/>
        <w:rPr/>
      </w:pPr>
      <w:bookmarkStart w:colFirst="0" w:colLast="0" w:name="_hsjuu311s0le" w:id="2"/>
      <w:bookmarkEnd w:id="2"/>
      <w:r w:rsidDel="00000000" w:rsidR="00000000" w:rsidRPr="00000000">
        <w:rPr>
          <w:rtl w:val="0"/>
        </w:rPr>
        <w:t xml:space="preserve">Critères de sélection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L’arrimage du projet de recherche avec un ou plusieurs des axes de recherche du Partenariat 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Rule="auto"/>
        <w:ind w:left="708.6614173228347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Axe 1 – La collection exposée</w:t>
      </w:r>
      <w:r w:rsidDel="00000000" w:rsidR="00000000" w:rsidRPr="00000000">
        <w:rPr>
          <w:rtl w:val="0"/>
        </w:rPr>
        <w:t xml:space="preserve"> s’intéresse aux expositions de collections et cherche à retracer l’émergence des nouveaux usages, à les documenter et à les analyser.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08.6614173228347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Axe 2 – La collection engagée</w:t>
      </w:r>
      <w:r w:rsidDel="00000000" w:rsidR="00000000" w:rsidRPr="00000000">
        <w:rPr>
          <w:rtl w:val="0"/>
        </w:rPr>
        <w:t xml:space="preserve"> étudie les modalités citoyennes du tournant participatif, celles qui transforment non seulement l’institution, mais les acteurs et la société. 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08.6614173228347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Axe 3 – La collection élargie</w:t>
      </w:r>
      <w:r w:rsidDel="00000000" w:rsidR="00000000" w:rsidRPr="00000000">
        <w:rPr>
          <w:rtl w:val="0"/>
        </w:rPr>
        <w:t xml:space="preserve"> considère les nouvelles pratiques de muséalisation, qui sont notamment impulsées par l’art contemporain et performatif. Sont étudiés les changements apportés aux processus d’acquisition, à la production documentaire et aux modalités de présentation des œuvres.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08.6614173228347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Axe 4 – La collection partagée</w:t>
      </w:r>
      <w:r w:rsidDel="00000000" w:rsidR="00000000" w:rsidRPr="00000000">
        <w:rPr>
          <w:rtl w:val="0"/>
        </w:rPr>
        <w:t xml:space="preserve"> explore la manière dont, à l’ère numérique, le monde muséal envisage le partage et l’ouverture des collections comme une manière d’en prendre soin.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La qualité du projet de recherche (l’innovation du projet postdoctoral, sa faisabilité et ses retombées concrètes)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La qualité du dossier universitaire (formation, dossier de recherche, expériences professionnelles)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La bourse sera accordée aux jeunes chercheur·euse·s qui ne détiennent pas de financement des grands organismes comme le CRSH ou le FRQSC.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after="0" w:lineRule="auto"/>
        <w:rPr/>
      </w:pPr>
      <w:bookmarkStart w:colFirst="0" w:colLast="0" w:name="_aokv0d2b5069" w:id="3"/>
      <w:bookmarkEnd w:id="3"/>
      <w:r w:rsidDel="00000000" w:rsidR="00000000" w:rsidRPr="00000000">
        <w:rPr>
          <w:rtl w:val="0"/>
        </w:rPr>
        <w:t xml:space="preserve">Procédures pour soumettre sa candidature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lineRule="auto"/>
        <w:ind w:left="720" w:hanging="360"/>
        <w:rPr>
          <w:shd w:fill="auto" w:val="clear"/>
        </w:rPr>
      </w:pPr>
      <w:r w:rsidDel="00000000" w:rsidR="00000000" w:rsidRPr="00000000">
        <w:rPr>
          <w:shd w:fill="auto" w:val="clear"/>
          <w:rtl w:val="0"/>
        </w:rPr>
        <w:t xml:space="preserve">Les dossiers de candidature doivent être envoyés à </w:t>
      </w:r>
      <w:hyperlink r:id="rId6">
        <w:r w:rsidDel="00000000" w:rsidR="00000000" w:rsidRPr="00000000">
          <w:rPr>
            <w:color w:val="1155cc"/>
            <w:u w:val="single"/>
            <w:shd w:fill="auto" w:val="clear"/>
            <w:rtl w:val="0"/>
          </w:rPr>
          <w:t xml:space="preserve">coordination@cieco.co</w:t>
        </w:r>
      </w:hyperlink>
      <w:r w:rsidDel="00000000" w:rsidR="00000000" w:rsidRPr="00000000">
        <w:rPr>
          <w:shd w:fill="auto" w:val="clear"/>
          <w:rtl w:val="0"/>
        </w:rPr>
        <w:t xml:space="preserve"> au plus tard le 1er juin 2023. </w:t>
      </w:r>
      <w:r w:rsidDel="00000000" w:rsidR="00000000" w:rsidRPr="00000000">
        <w:rPr>
          <w:shd w:fill="auto" w:val="clear"/>
          <w:rtl w:val="0"/>
        </w:rPr>
        <w:t xml:space="preserve">Le</w:t>
      </w:r>
      <w:r w:rsidDel="00000000" w:rsidR="00000000" w:rsidRPr="00000000">
        <w:rPr>
          <w:rtl w:val="0"/>
        </w:rPr>
        <w:t xml:space="preserve">s dossiers incomplets ou en retard ne seront pas considérés.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e dossier devra comprendre les éléments suivants 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Rule="auto"/>
        <w:ind w:left="1133.858267716535" w:hanging="360"/>
        <w:jc w:val="both"/>
      </w:pPr>
      <w:r w:rsidDel="00000000" w:rsidR="00000000" w:rsidRPr="00000000">
        <w:rPr>
          <w:rtl w:val="0"/>
        </w:rPr>
        <w:t xml:space="preserve">Le formulaire Bourse postdoctorale du Partenariat dûment rempli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Rule="auto"/>
        <w:ind w:left="1133.858267716535" w:hanging="360"/>
        <w:jc w:val="both"/>
      </w:pPr>
      <w:r w:rsidDel="00000000" w:rsidR="00000000" w:rsidRPr="00000000">
        <w:rPr>
          <w:rtl w:val="0"/>
        </w:rPr>
        <w:t xml:space="preserve">Une présentation du projet de recherche (sujet, problématique, méthodologie, contribution envisagée et liens avec l’un ou plusieurs des axes de recherche du Partenariat) (max. 2 pages)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Rule="auto"/>
        <w:ind w:left="1133.858267716535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 résumé de la thèse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Rule="auto"/>
        <w:ind w:left="1133.858267716535" w:right="-77.36220472440891" w:hanging="360"/>
        <w:jc w:val="both"/>
      </w:pPr>
      <w:r w:rsidDel="00000000" w:rsidR="00000000" w:rsidRPr="00000000">
        <w:rPr>
          <w:rtl w:val="0"/>
        </w:rPr>
        <w:t xml:space="preserve">Une bibliographie (max. 1 page)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Rule="auto"/>
        <w:ind w:left="1133.858267716535" w:right="-77.36220472440891" w:hanging="360"/>
        <w:jc w:val="both"/>
      </w:pPr>
      <w:r w:rsidDel="00000000" w:rsidR="00000000" w:rsidRPr="00000000">
        <w:rPr>
          <w:rtl w:val="0"/>
        </w:rPr>
        <w:t xml:space="preserve">Un CV (maximum 2 pages) faisant état des principales contributions et expériences en recherche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Rule="auto"/>
        <w:ind w:left="1133.858267716535" w:right="-77.36220472440891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Deux lettres d’appui (dont l’une du ou de la superviseur·e)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Rule="auto"/>
        <w:ind w:left="1133.858267716535" w:hanging="360"/>
        <w:jc w:val="both"/>
        <w:rPr>
          <w:u w:val="none"/>
          <w:shd w:fill="auto" w:val="clear"/>
        </w:rPr>
      </w:pPr>
      <w:r w:rsidDel="00000000" w:rsidR="00000000" w:rsidRPr="00000000">
        <w:rPr>
          <w:shd w:fill="auto" w:val="clear"/>
          <w:rtl w:val="0"/>
        </w:rPr>
        <w:t xml:space="preserve">Le dernier relevé de notes du doctorat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708.6614173228347" w:firstLine="0"/>
        <w:jc w:val="both"/>
        <w:rPr/>
      </w:pPr>
      <w:r w:rsidDel="00000000" w:rsidR="00000000" w:rsidRPr="00000000">
        <w:rPr>
          <w:rtl w:val="0"/>
        </w:rPr>
        <w:t xml:space="preserve">Le tout assemblé dans </w:t>
      </w:r>
      <w:r w:rsidDel="00000000" w:rsidR="00000000" w:rsidRPr="00000000">
        <w:rPr>
          <w:u w:val="single"/>
          <w:rtl w:val="0"/>
        </w:rPr>
        <w:t xml:space="preserve">un seul document PDF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Style w:val="Heading1"/>
        <w:spacing w:after="0" w:lineRule="auto"/>
        <w:rPr/>
      </w:pPr>
      <w:bookmarkStart w:colFirst="0" w:colLast="0" w:name="_hinzetwys9it" w:id="4"/>
      <w:bookmarkEnd w:id="4"/>
      <w:r w:rsidDel="00000000" w:rsidR="00000000" w:rsidRPr="00000000">
        <w:rPr>
          <w:rtl w:val="0"/>
        </w:rPr>
        <w:t xml:space="preserve">Communication des résultats de sélection</w:t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  <w:t xml:space="preserve">Après avoir pris connaissance des dossiers de candidature, le comité d’attribution des bourses </w:t>
      </w:r>
      <w:r w:rsidDel="00000000" w:rsidR="00000000" w:rsidRPr="00000000">
        <w:rPr>
          <w:shd w:fill="auto" w:val="clear"/>
          <w:rtl w:val="0"/>
        </w:rPr>
        <w:t xml:space="preserve">communiquera les résultats au plus tard le 30 juin 2023. </w:t>
      </w:r>
      <w:r w:rsidDel="00000000" w:rsidR="00000000" w:rsidRPr="00000000">
        <w:rPr>
          <w:rtl w:val="0"/>
        </w:rPr>
        <w:t xml:space="preserve">Le comité d’attribution se réserve le droit de ne pas attribuer la bourse.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  <w:shd w:fill="auto" w:val="clear"/>
        </w:rPr>
      </w:pPr>
      <w:r w:rsidDel="00000000" w:rsidR="00000000" w:rsidRPr="00000000">
        <w:rPr>
          <w:b w:val="1"/>
          <w:shd w:fill="auto" w:val="clear"/>
          <w:rtl w:val="0"/>
        </w:rPr>
        <w:t xml:space="preserve">Versement de la bourse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La bourse de stage postdoctorale sera versée par l’université d’accueil et est soumise à des  politiques qui peuvent varier d’une université à l’autre. Le montant total inclut les avantages sociaux si la bourse doit être convertie en contrat de recherche. Nous vous invitons à vous informer auprès de l’établissement où vous envisagez réaliser le stage. 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Le stage postdoctoral devra débuter dans les 12 mois suivant l’octroi de la bourse. </w:t>
      </w:r>
    </w:p>
    <w:p w:rsidR="00000000" w:rsidDel="00000000" w:rsidP="00000000" w:rsidRDefault="00000000" w:rsidRPr="00000000" w14:paraId="00000032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  <w:t xml:space="preserve">CIÉCO cherche à développer une recherche équitable, diversifiée et inclusive.</w:t>
      </w:r>
    </w:p>
    <w:p w:rsidR="00000000" w:rsidDel="00000000" w:rsidP="00000000" w:rsidRDefault="00000000" w:rsidRPr="00000000" w14:paraId="00000034">
      <w:pPr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Pour toutes questions, écrire à la coordonnatrice scientifique du Partenariat à </w:t>
      </w:r>
      <w:r w:rsidDel="00000000" w:rsidR="00000000" w:rsidRPr="00000000">
        <w:rPr>
          <w:color w:val="0000ff"/>
          <w:u w:val="single"/>
          <w:rtl w:val="0"/>
        </w:rPr>
        <w:t xml:space="preserve">coordination@cieco.co</w:t>
      </w:r>
      <w:r w:rsidDel="00000000" w:rsidR="00000000" w:rsidRPr="00000000">
        <w:rPr>
          <w:rtl w:val="0"/>
        </w:rPr>
        <w:t xml:space="preserve"> ou visiter </w:t>
      </w:r>
      <w:r w:rsidDel="00000000" w:rsidR="00000000" w:rsidRPr="00000000">
        <w:rPr>
          <w:color w:val="0000ff"/>
          <w:u w:val="single"/>
          <w:rtl w:val="0"/>
        </w:rPr>
        <w:t xml:space="preserve">cieco.</w:t>
      </w:r>
    </w:p>
    <w:p w:rsidR="00000000" w:rsidDel="00000000" w:rsidP="00000000" w:rsidRDefault="00000000" w:rsidRPr="00000000" w14:paraId="00000036">
      <w:pPr>
        <w:spacing w:after="0" w:lineRule="auto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72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133.8582677165355" w:top="1133.8582677165355" w:left="1133.8582677165355" w:right="1133.8582677165355" w:header="283.46456692913387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12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line="120" w:lineRule="auto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12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line="12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858528" cy="399862"/>
          <wp:effectExtent b="0" l="0" r="0" t="0"/>
          <wp:docPr id="3" name="image5.gif"/>
          <a:graphic>
            <a:graphicData uri="http://schemas.openxmlformats.org/drawingml/2006/picture">
              <pic:pic>
                <pic:nvPicPr>
                  <pic:cNvPr id="0" name="image5.gif"/>
                  <pic:cNvPicPr preferRelativeResize="0"/>
                </pic:nvPicPr>
                <pic:blipFill>
                  <a:blip r:embed="rId1"/>
                  <a:srcRect b="14285" l="0" r="0" t="-14285"/>
                  <a:stretch>
                    <a:fillRect/>
                  </a:stretch>
                </pic:blipFill>
                <pic:spPr>
                  <a:xfrm>
                    <a:off x="0" y="0"/>
                    <a:ext cx="858528" cy="3998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937505" cy="323662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24256" l="0" r="0" t="0"/>
                  <a:stretch>
                    <a:fillRect/>
                  </a:stretch>
                </pic:blipFill>
                <pic:spPr>
                  <a:xfrm>
                    <a:off x="0" y="0"/>
                    <a:ext cx="937505" cy="3236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474736" cy="196442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736" cy="19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2908196" cy="257363"/>
          <wp:effectExtent b="0" l="0" r="0" t="0"/>
          <wp:docPr id="5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25925" l="0" r="0" t="0"/>
                  <a:stretch>
                    <a:fillRect/>
                  </a:stretch>
                </pic:blipFill>
                <pic:spPr>
                  <a:xfrm>
                    <a:off x="0" y="0"/>
                    <a:ext cx="2908196" cy="257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240" w:before="240" w:lineRule="auto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after="240" w:before="240" w:line="276" w:lineRule="auto"/>
      <w:rPr>
        <w:rFonts w:ascii="Proxima Nova" w:cs="Proxima Nova" w:eastAsia="Proxima Nova" w:hAnsi="Proxima Nova"/>
        <w:shd w:fill="auto" w:val="clear"/>
      </w:rPr>
    </w:pPr>
    <w:r w:rsidDel="00000000" w:rsidR="00000000" w:rsidRPr="00000000">
      <w:rPr/>
      <w:drawing>
        <wp:inline distB="114300" distT="114300" distL="114300" distR="114300">
          <wp:extent cx="981171" cy="661073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171" cy="6610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Proxima Nova" w:cs="Proxima Nova" w:eastAsia="Proxima Nova" w:hAnsi="Proxima Nova"/>
        <w:shd w:fill="auto" w:val="clear"/>
        <w:rtl w:val="0"/>
      </w:rPr>
      <w:tab/>
      <w:t xml:space="preserve">  </w:t>
      <w:tab/>
    </w:r>
  </w:p>
  <w:p w:rsidR="00000000" w:rsidDel="00000000" w:rsidP="00000000" w:rsidRDefault="00000000" w:rsidRPr="00000000" w14:paraId="0000003C">
    <w:pPr>
      <w:pStyle w:val="Title"/>
      <w:rPr>
        <w:rFonts w:ascii="Proxima Nova" w:cs="Proxima Nova" w:eastAsia="Proxima Nova" w:hAnsi="Proxima Nova"/>
        <w:sz w:val="22"/>
        <w:szCs w:val="22"/>
        <w:shd w:fill="auto" w:val="clear"/>
      </w:rPr>
    </w:pPr>
    <w:bookmarkStart w:colFirst="0" w:colLast="0" w:name="_u9ztw3b0ks44" w:id="5"/>
    <w:bookmarkEnd w:id="5"/>
    <w:r w:rsidDel="00000000" w:rsidR="00000000" w:rsidRPr="00000000">
      <w:rPr>
        <w:rtl w:val="0"/>
      </w:rPr>
      <w:t xml:space="preserve">APPEL : BOURSE POSTDOCTORALE </w:t>
    </w:r>
    <w:r w:rsidDel="00000000" w:rsidR="00000000" w:rsidRPr="00000000">
      <w:rPr>
        <w:shd w:fill="auto" w:val="clear"/>
        <w:rtl w:val="0"/>
      </w:rPr>
      <w:t xml:space="preserve">DU PARTENARIAT </w:t>
      <w:br w:type="textWrapping"/>
    </w:r>
    <w:r w:rsidDel="00000000" w:rsidR="00000000" w:rsidRPr="00000000">
      <w:rPr>
        <w:i w:val="1"/>
        <w:shd w:fill="auto" w:val="clear"/>
        <w:rtl w:val="0"/>
      </w:rPr>
      <w:t xml:space="preserve">DES NOUVEAUX USAGES DES COLLECTIONS DANS LES MUSÉES D’ART </w:t>
    </w:r>
    <w:r w:rsidDel="00000000" w:rsidR="00000000" w:rsidRPr="00000000">
      <w:rPr>
        <w:shd w:fill="auto" w:val="clear"/>
        <w:rtl w:val="0"/>
      </w:rPr>
      <w:t xml:space="preserve">2023-2024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highlight w:val="white"/>
        <w:lang w:val="fr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="240" w:lineRule="auto"/>
      <w:ind w:left="283.46456692913375"/>
    </w:pPr>
    <w:rPr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line="240" w:lineRule="auto"/>
      <w:ind w:left="283.46456692913375" w:firstLine="0"/>
      <w:jc w:val="both"/>
    </w:pPr>
    <w:rPr>
      <w:i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240" w:line="276" w:lineRule="auto"/>
      <w:jc w:val="center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coordination@cieco.co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gif"/><Relationship Id="rId2" Type="http://schemas.openxmlformats.org/officeDocument/2006/relationships/image" Target="media/image2.jpg"/><Relationship Id="rId3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